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14 16 vom 23. Juni 2014</w:t>
      </w:r>
    </w:p>
    <w:p>
      <w:r>
        <w:t>VS Kantonsgericht, 2014-06-23, FR</w:t>
      </w:r>
    </w:p>
    <w:p>
      <w:r>
        <w:rPr>
          <w:b/>
        </w:rPr>
        <w:t xml:space="preserve">Quelle: </w:t>
      </w:r>
      <w:r>
        <w:t>https://mcp.opencaselaw.ch/entscheid/vs_gerichte_P3 14 16</w:t>
      </w:r>
    </w:p>
    <w:p>
      <w:r>
        <w:t>FR: VS_GERICHTE P3 14 16 du 23 juin 2014</w:t>
      </w:r>
    </w:p>
    <w:p>
      <w:r>
        <w:t>IT: VS_GERICHTE P3 14 16 del 23 giugno 2014</w:t>
      </w:r>
    </w:p>
    <w:p>
      <w:pPr>
        <w:pStyle w:val="Heading2"/>
      </w:pPr>
      <w:r>
        <w:t>Regeste</w:t>
      </w:r>
    </w:p>
    <w:p>
      <w:r>
        <w:t>P3 14 16 ORDONNANCE DU 23 JUIN 2014 Tribunal cantonal du Valais Chambre pénale Jacques Berthouzoz, juge ; Mireille Allegro, greffière en la cause pénale entre X_________, recourant, représenté par Maître A_________ et LE TRIBUNAL DE L'APPLICATION DES PEINES ET MESURES (nouvelle ordonnance après cassation ; détention illégale ; art. 5 par. 1 let. e et par. 4 CEDH et art. 3 CEDH)</w:t>
      </w:r>
    </w:p>
    <w:p>
      <w:pPr>
        <w:pStyle w:val="Heading2"/>
      </w:pPr>
      <w:r>
        <w:t>Erwägungen</w:t>
      </w:r>
    </w:p>
    <w:p>
      <w:r>
        <w:rPr>
          <w:b/>
        </w:rPr>
        <w:t>E. 23</w:t>
      </w:r>
    </w:p>
    <w:p>
      <w:r>
        <w:t>avril 2013 et renvoyé la cause à l’autorité cantonale pour nouvelle décision. 2. Il s’agit d’examiner la légalité de la détention de X_________ à la prison de D_________ puis à C_________ au regard de l’article 5 par. 1 let. e CEDH. 2.1.1 L'article 5 CEDH peut être invoqué par la personne soumise à un traitement institutionnel dans un établissement psychiatrique ou pénitentiaire fermé ou dans la section fermée d'un établissement pénitentiaire ouvert au sens de l'article 59 alinéa 3 CP (cf. ATF 136 IV 156 consid. 3.2). Conformément à l'article 5 par. 4 CEDH, la personne soumise à une telle mesure a donc droit d'introduire un recours devant un tribunal, afin qu'il statue à bref délai sur la légalité de sa détention et ordonne sa libération si la détention est illégale. En matière de détention provisoire, également soumise à l'exigence de célérité posée par l'article 5 par. 4 CEDH, la jurisprudence a jugé que le prévenu qui estime avoir subi, du fait de la mise en détention provisoire, un traitement prohibé par l'article 3 CEDH, dispose d'un droit propre à ce que les agissements dénoncés fassent l'objet d'une enquête prompte et impartiale. Selon l'article 5 par. 1 let. e CEDH, toute personne a droit à la liberté et à la sûreté. Nul ne peut être privé de sa liberté, sauf selon les voies légales et s'il s'agit, notamment, de la détention régulière d'un aliéné. En principe, la « détention » d'une personne comme malade mental ne sera « régulière » au regard de l'article 5 par. 1 let. e CEDH que si elle se déroule dans un hôpital, une clinique ou un autre établissement approprié (arrêt de la CourEDH Stanev c/ Bulgarie du 17 janvier 2012, par. 145 et 147 et arrêts cités). 2.1.2 Aux termes de l'article 59 alinéa 2 CP, le traitement institutionnel des troubles mentaux s'effectue dans un établissement psychiatrique approprié ou dans un établissement d'exécution des mesures. Le législateur vise, en premier lieu, les cliniques psychiatriques publiques ou privées qui offrent un traitement approprié pour les troubles mentaux en cause. Comme les cliniques psychiatriques ne sont pas toujours prêtes et à même de prendre en charge des patients peu coopératifs, le législateur a prévu que de telles mesures pouvaient également être exécutées au sein d'un établissement spécialisé d'exécution des mesures. Celui-ci doit être dirigé ou</w:t>
      </w:r>
    </w:p>
    <w:p>
      <w:r>
        <w:t>- 8 - surveillé par un médecin ; il faut en outre qu'il dispose des installations nécessaires ainsi que d'un personnel disposant d'une formation appropriée et placé sous surveillance médicale (arrêts 6B_538/2013 du 14 octobre 2013 consid. 6.1.1 ; 6B_384/2010 du 15 décembre 2010 consid. 2.1.1 ; 6B_629/2009 du 21 décembre 2009 consid. 1.2.1 et les références citées). Il ressort enfin de l'article 58 alinéa 2 CP que les lieux d'exécution des mesures thérapeutiques visés aux articles 59 à 61 CP doivent être séparés des lieux d'exécution des peines. L'article 59 alinéa 3 CP prévoit toutefois que, tant qu'il existe un risque de fuite ou de récidive, le traitement doit être exécuté dans un établissement fermé ; il peut aussi être effectué dans un établissement pénitentiaire au sens de l'article 76 alinéa 2 CP, dans la mesure où le traitement thérapeutique nécessaire est assuré par du personnel qualifié (art. 59 al. 3 2e phrase CP). Ainsi, en introduisant la possibilité d'exécuter une mesure institutionnelle dans un établissement pénitentiaire, le législateur a introduit une exception au principe de la séparation des lieux d'exécution des mesures de ceux d'exécution des peines (art. 58 al. 2 CP ; arrêt 6B_629/2009 du 21 décembre 2009 consid. 1.2.2). 2.1.3 Jusqu’en avril de cette année, les cantons latins (Fribourg, Vaud, Valais, Neuchâtel, Genève, Jura et Tessin) ne disposaient pas d'établissements psychiatriques appropriés ou d'établissements pour l'exécution des mesures pour le traitement des troubles mentaux (art. 59 CP). La mesure prévue à l'article 59 alinéa 3 CP s'exécutait dans les établissements pénitentiaires dotés du personnel qualifié ou en fonction d'accord avec des établissements appropriés du concordat de la Suisse centrale et du Nord-Ouest ou du concordat de la Suisse orientale (cf. règlement du</w:t>
      </w:r>
    </w:p>
    <w:p>
      <w:r>
        <w:rPr>
          <w:b/>
        </w:rPr>
        <w:t>E. 25</w:t>
      </w:r>
    </w:p>
    <w:p>
      <w:r>
        <w:t>septembre 2008 concernant la liste des établissements pour l'exécution des sanctions pénales privatives de liberté en force ou subies à titre anticipé de la Conférence latine des autorités cantonales compétentes en matière d'exécution des peines et des mesures), cela jusqu'à l’ouverture de l'établissement Curabilis, qui a été inauguré à Genève, le 4 avril 2014, et dont la mise en service a été repoussée de plusieurs semaines et devra se dérouler par étapes, de manière progressive (cf. arrêt 6B_384/2010 du 15 septembre 2010 consid. 2.1.3 ; voir aussi le site internet http://www.xxx). 2.2.1 En l’espèce, en application de l'article 59 alinéa 3 CP, la mesure thérapeutique institutionnelle à laquelle le recourant est soumis depuis le jugement du 17 août 2010 peut être exécutée dans un établissement pénitentiaire. S'il entendait remettre en cause la réalisation des conditions de l'article 59 alinéa 3 CP permettant l'exécution d'une mesure en milieu fermé, il lui appartenait de recourir contre ce jugement qui prévoyait expressément la possibilité de mettre en œuvre le traitement institutionnel dans un établissement pénitentiaire fermé. Or, il ne l’a pas fait. En outre, il ne soutient pas qu’il ne présentait aucun risque de fuite ou de récidive, conditions permettant un placement dans un établissement pénitentiaire. Le grief du recourant est dès lors infondé. 2.2.2 Reste ainsi à examiner si le traitement thérapeutique a été assuré par du personnel qualifié, à savoir disposant d’une formation appropriée et placé sous surveillance médicale (cf. ATF 108 IV 81 consid. 3c à propos de l'art. 43 aCP ;</w:t>
      </w:r>
    </w:p>
    <w:p>
      <w:r>
        <w:t>- 9 - Baechtold, Exécution des peines, 2008, p. 290 s.; Heer, Commentaire bâlois, Strafrecht I, 2e éd., n. 93 ad art. 59). 2.2.2.1 S’agissant de C_________ la réponse n’est guère douteuse, puisque l’établissement est reconnu comme établissement d’exécution des peines concordataires. Il dispose d’une unité psychiatrique et propose un programme individualisé de thérapie et de soins (cf. bulletin info 2/2010, p. 11 et 12 ; art. 6 al. 1 du règlement concernant la liste des établissements pour l’exécution des privations de liberté à caractère pénal du 29 octobre 2010 de la Conférence latine et son annexe). X_________ y a suivi un traitement psychiatrique intégré associant des entretiens psychothérapeutiques à un traitement psychopharmacologique. Le fait que les responsables du Service médical de C_________ se soient plaints d’un manque de personnel qualifié du fait de l’emballement de la justice à prononcer des mesures, d’une part, et de l’insuffisance de moyens des cantons pour répondre aux exigences du législateur, d’autre part, ne permet pas encore de qualifier la détention de X_________ d’illégale. L’intéressé ne prétend pas ne pas avoir bénéficié d’une prise en charge psychiatrique par du personnel qualifié, mais soutient que le régime de la détention était incompatible avec le succès d’une thérapie psychiatrique (cf. détermination du 15 avril 2014 p. 5). Or, comme on l’a vu ci-dessus, la mesure thérapeutique institutionnelle pouvait être exécutée en milieu carcéral. De surcroît, comme l’atteste le Service médical de C_________, la prise en charge n’aurait pas été différente si X_________ n’avait pas été incarcéré. D’ailleurs, force est de constater que la thérapie psychiatrique dispensée à C_________ a eu le succès escompté puisque X_________ a pu être transféré à l’institution H_________, à I_________, le 18 mars 2013. Enfin, il sied de relever que le Tribunal fédéral a considéré au considérant 14.1 de son arrêt 6B_471/2012 - 6B_517/2012 du 21 janvier 2013 qu’à C_________, le traitement nécessaire avait été assuré, et ce par du personnel qualifié. 2.2.2.2 En ce qui concerne la prison de D_________, la situation est plus délicate puisque le SMP admet ne disposer ni des locaux adéquats ni de ressources humaines suffisantes pour assumer la mise en œuvre d’une « mesure institutionnelle », laquelle se distingue d’un traitement ambulatoire en cela que la thérapie n’est pas cantonnée à un temps et à un endroit donnés, mais a lieu vingt-quatre heures sur vingt-quatre dans un cadre institutionnel. Toutefois, comme on l’a vu, le législateur a abandonné, pour des raisons de coûts, l’exigence que le traitement soit effectué dans une section spéciale d’un établissement pénitentiaire. Ainsi, X_________ n’avait pas à être placé dans un quartier séparé des prisonniers en meilleure santé. A la suite de l’entrée en force du jugement le condamnant et prononçant la mesure de traitement institutionnelle, la direction des EPV a immédiatement déposé une demande de transfert à C_________, compte tenu de l’absence d’établissements approprié en Valais et du fait que le centre « La Pâquerette », à Genève, - ne comptant, au demeurant, que onze places -, n’était pas adapté aux personnes souffrant de schizophrénie (cf. rapport du Service de l’application des peines et mesures du 13 mars 2014). Cependant, en raison du nombre croissant de mesures ordonnées et du nombre restreint de places, X_________ a été inscrit sur liste d’attente. Entre- temps, contrairement à ce qu’il avait laissé entendre dans son recours (cf. arrêt 6B_445/2013 - 6B_507/2013 du 14 janvier 2014 consid. 4.4.2), X_________ a</w:t>
      </w:r>
    </w:p>
    <w:p>
      <w:r>
        <w:t>- 10 - bénéficié de soins psychiatriques durant son séjour à la prison de D_________, sous forme d’entretiens hebdomadaires avec une psychologue clinicienne, placée sous la supervision du médecin psychiatre responsable du SMP, ainsi que d’un traitement psychopharmacologique prescrit par ce dernier, en collaboration avec la psychologue et le service infirmier. Ainsi, il appert que le traitement thérapeutique nécessaire préconisé par l’expert psychiatre le 14 avril 2010 (traitement psychiatrique avec un accent particulier sur la médication neuroleptique) a été assuré par du personnel qualifié. A cet égard, Fournier est malvenu de se plaindre du fait de n’avoir jamais été examiné par le Dr G_________, alors qu’il a lui-même refusé de recevoir celui-ci, à plusieurs reprises. Par ailleurs, on relève encore que le Service médical de C_________ a considéré qu’à l’extérieur du milieu carcéral, X_________ aurait bénéficié d’un traitement ambulatoire comprenant des entretiens psychiatriques et infirmiers réguliers, semblable à celui qu’il avait eu durant son incarcération. Il n’aurait probablement pas eu un traitement différent s’il avait été transféré immédiatement à C_________, à la suite de l’entrée en force du jugement le condamnant, puisque, dans un premier temps, il s’agissait de stabiliser son état de santé par l’introduction d’un traitement neuroleptique adapté, ce qui a été fait par le personnel psychiatrique de la prison de D_________ et aurait été fait de la même manière à C_________. Dans ces conditions, la détention de X_________ à la prison de D_________, en l’attente d’une place à C_________, soit durant environ cinq mois, du 24 septembre 2010 au 2 mars 2013, n’apparaît pas illégale. 2.3 Le grief de violation de l’article 5 par. 1 let. e CEDH doit dès lors être rejeté. 3. Le recourant se plaint également des conditions de sa détention, qui auraient enfreint l’article 3 CEDH. Il formule les critiques concrètes suivantes : avoir été privé de télévision, avoir été autorisé à fumer dans sa cellule au risque de dégrader encore plus sa santé et au point de déclencher les alarmes, avoir été soumis au même régime que les détenus non atteints d’une maladie mentale concernant les restrictions aux visites et aux contacts avec l’extérieur, ainsi que la promiscuité avec les autres délinquants. 3.1 L'article 3 CEDH, qui interdit (à l'instar d'autres dispositions constitutionnelles et conventionnelles) la torture et les peines ou traitements inhumains ou dégradants, impose notamment des standards minimaux en matière de détention (ATF 124 I 231 consid. 2), concrétisés par les Règles pénitentiaires européennes adoptées par le Comité des Ministres du Conseil de l'Europe (Recommandation Rec (2006) 2). Le règlement sur les établissement de détention du canton du Valais du 10 décembre 1993 et le règlement du canton de Vaud du 24 janvier 2007 sur le statut des condamnés exécutant une peine privative de liberté et les régimes de détention applicables répondent à ces critères. 3.2 En l’occurrence, les allégations du recourant ne permettent pas de rendre crédible l'existence d'une violation des dispositions conventionnelles, légales et réglementaires précitées. Tant aux EPV qu’à C_________, il a bénéficié d’une cellule individuelle (ch. 18.5 de la Rec (2006) 2) et de sanitaires adéquats (ch. 19.3). Il a pu avoir accès aux douches à une fréquence suffisante (ch. 19.4). Il a eu la possibilité d’effectuer une</w:t>
      </w:r>
    </w:p>
    <w:p>
      <w:r>
        <w:t>- 11 - promenade quotidienne d’une heure, puis de faire du sport une heure de plus par semaine (ch. 27.1). S’agissant des deux privations de télévision subies à la prison de D_________, il s’agit d’une sanction infligée à la suite du refus du détenu de nettoyer sa cellule. Selon le ch. 19.5 de la Rec (2006) 2, « les détenus doivent veiller à la propreté et à l’entretien de leur personne, de leurs vêtements et de leur logement ». L’article 53 du règlement valaisan prévoit que les détenus doivent observer les dispositions du règlement et toutes les instructions générales ou particulières en rapport avec celui-ci. Conformément à l’article 54 al. 1 let h et i, l’inobservation d’un devoir général ou d’un ordre du directeur ou du personnel consécutive à la menace expresse d’une sanction disciplinaire en cas d’insoumission constituent une infraction disciplinaire et peut entraîner comme sanction, notamment, la privation de la télévision (art. 55 al. 1 let. f du règlement valaisan). Ainsi, après plusieurs demandes faites à X_________ de remettre en état sa cellule, les agents de détention étaient fondés de prendre une des mesures prévues à l’article 55 du règlement valaisan. La privation de télévision était proportionnée et propre à atteindre le but visé. Elle n’a, au demeurant, pas fait alors l’objet d’une contestation. Concernant les cigarettes, le règlement valaisan ne prévoit pas d’interdiction (art. 50 al. 3), mais laisse au directeur de l’établissement le soin d’en régler l’usage. Le fait que X_________ ait pu fumer dans sa cellule ne viole donc pas l’article 3 CEDH. X_________ n’a pas été forcé à le faire et rien ne permet d’affirmer que la consommation de tabac a aggravé son état de santé, contrairement à ce qu’il sous- entend. Pour le reste, hormis le fait que les détenus atteints d’affections et de troubles mentaux doivent être placés sous contrôle médical et que leur situation et besoins doivent faire l’objet d’une attention particulière, le régime qui leur est applicable reste le même que pour les autres détenus. Ainsi, les critiques du recourant quant aux restrictions aux visites et aux contacts avec l’extérieur, ainsi que la promiscuité avec les autres délinquants sont vaines. Elles ne trouvent, en outre, aucun fondement au dossier. Il s’ensuit le rejet du grief de violation de l’article 3 CEDH. 4. Pour des motifs d’économie de procédure, le Tribunal fédéral est entré en matière sur le grief de violation du principe de célérité par le TAPEM (art. 5 par. 4 CEDH) soulevé par X_________ et l’a admis au consid. 4.5 de son arrêt du 14 janvier 2014. Conformément à la jurisprudence établie, le Tribunal fédéral a réparé d'emblée cette violation par la constatation de celle-ci, une admission partielle du recours sur ce point, la mise à la charge de l'Etat des frais de justice et l’octroi d’une indemnité de 3000 fr. pour les frais de défense (cf. ATF 139 IV 179 consid. 2.7 ; 137 IV 92 consid. 3.2.3 ; 137 IV 118 consid. 2.2 ; 136 I 274 consid. 2.3 et les références). Toute autre prestation ne saurait, dès lors, entrer en ligne de compte, dans la présente procédure de renvoi. 5. Au regard de l’issue du procès en instance fédérale, le tribunal de céans doit donc statuer à nouveau sur les frais et dépens pour la procédure de recours P3 13 56.</w:t>
      </w:r>
    </w:p>
    <w:p>
      <w:r>
        <w:t>- 12 - Comme l’a relevé le Tribunal fédéral, X_________ a droit à l’assistance judiciaire tant pour le pan de la procédure relatif à la violation du principe de célérité, tant pour la procédure de renvoi portant sur la question de l’illicéité de la détention (art. 132 al. 1 let. b, 2 et 3 CPP et 5 al. 1 OAJ). Il convient donc de l’exonérer des frais de la procédure de recours, qui sont mis à la charge de l’Etat du Valais (art. 136 al. 2 let. b CPP par analogie ; Harari/Corminboeuf, Commentaire romand, n. 51 ad art. 136 CPP). Quant au défenseur d’office, il est indemnisé par l’Etat du Valais (art. 11 al. 1 LAJ) conformément au tarif des avocats du canton du for du procès (art. 135 al. 1 CPP). Ainsi, il perçoit, en sus du remboursement de ses débours justifiés, des honoraires correspondant au 70% des honoraires prévus à l’article 36 LTar, mais au moins à une rémunération équitable telle que définie par la jurisprudence du Tribunal fédéral (art. 30 al. 1 LTar ; ATF 132 I 201 consid. 8.7 ; arrêts 6B_752/2009 du 18 janvier 2010 consid. 1 ; 8C_391/2007 du 26 mai 2008 consid. 3.2). 5.1 L’émolument, qui doit respecter les principes de la couverture des frais et de l’équivalence des prestations, est fixé en fonction notamment de l’ampleur et de la difficulté de la cause (art. 13 al. 1 et 2 LTar). Il oscille entre 90 et 2000 fr. (art. 22 let. g LTar). En l’espèce, eu égard à la complexité de l’affaire, il est arrêté forfaitairement à 1100 fr. (art. 424 al. 2 CPP et 11 LTar). Ce montant comprend 200 fr. de frais fixés dans la cause P3 13 56, 100 fr. facturés par le RSV pour l’avis médical du 28 mars 2014 et 800 fr. de frais pour la procédure de renvoi. 5.2 Les honoraires, variant entre 300 et 2200 fr., sont fixés notamment d’après la nature et l’importance de la cause, ses difficultés, l’ampleur du travail et le temps utilement consacré par le conseil juridique (art. 27 al. 1 et 36 LTar). En l’occurrence, compte tenu notamment de ce qui précède quant à la difficulté de la cause, ainsi que des prestations utiles de Me A_________, auteur d’un recours motivé, reprenant en partie les arguments déjà soulevés précédemment, et d’une détermination de cinq pages dans le cadre de la procédure de renvoi, son indemnité réduite globale pour la procédure de recours et celle de renvoi est arrêtée à 1700 fr., débours compris (1800 fr. + 500 fr. = 2300 fr. x 70%). 5.3 Les points 3 et 4 du dispositifs de l’ordonnance du 23 avril 2013 sont donc modifiés en ce sens que X_________ est mis au bénéfice de l’assistance judiciaire totale pour la procédure de recours, Me A_________ lui étant désigné comme avocat d’office et que les frais, par 1100 fr., sont mis à la charge de l’Etat du Valais, lequel versera à Me A_________ une indemnité réduite de 1700 fr. au titre de l’assistance judiciaire.</w:t>
      </w:r>
    </w:p>
    <w:p>
      <w:r>
        <w:t>- 13 -</w:t>
      </w:r>
    </w:p>
    <w:p>
      <w:r>
        <w:t>Prononce</w:t>
      </w:r>
    </w:p>
    <w:p>
      <w:r>
        <w:t>1. Le recours est rejeté 2. L’ordonnance du 23 avril 2013 et modifiée comme suit, s’agissant de l’assistance judiciaire et des frais et dépens : 3. X_________ est mis au bénéfice de l’assistance judiciaire totale pour la procédure de recours, Me A_________ lui étant désigné comme avocat d’office. 4. Les frais, par 1100 francs, sont mis à la charge de l’Etat du Valais, qui versera, en outre, à Me A_________ une indemnité réduite de 1700 francs au titre de l’assistance judiciaire pour la procédure de recours et de renvoi devant le Tribunal cantonal.</w:t>
      </w:r>
    </w:p>
    <w:p>
      <w:r>
        <w:t>Sion, le 23 juin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